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FEFA8" w14:textId="5A653257" w:rsidR="006B3B88" w:rsidRPr="00B44280" w:rsidRDefault="00474BCA" w:rsidP="00D7193F">
      <w:pPr>
        <w:spacing w:after="0" w:line="0" w:lineRule="atLeast"/>
        <w:jc w:val="center"/>
        <w:rPr>
          <w:b/>
          <w:bCs/>
          <w:sz w:val="24"/>
          <w:szCs w:val="24"/>
        </w:rPr>
      </w:pPr>
      <w:r w:rsidRPr="00F82639">
        <w:rPr>
          <w:b/>
          <w:bCs/>
          <w:sz w:val="24"/>
          <w:szCs w:val="24"/>
        </w:rPr>
        <w:t>S</w:t>
      </w:r>
      <w:r w:rsidR="00D7193F">
        <w:rPr>
          <w:b/>
          <w:bCs/>
          <w:sz w:val="24"/>
          <w:szCs w:val="24"/>
        </w:rPr>
        <w:t>. Ü.</w:t>
      </w:r>
      <w:r w:rsidRPr="00F82639">
        <w:rPr>
          <w:b/>
          <w:bCs/>
          <w:sz w:val="24"/>
          <w:szCs w:val="24"/>
        </w:rPr>
        <w:t xml:space="preserve"> KADINHANI FAİK İÇİL MYO</w:t>
      </w:r>
      <w:r w:rsidR="00D7193F">
        <w:rPr>
          <w:b/>
          <w:bCs/>
          <w:sz w:val="24"/>
          <w:szCs w:val="24"/>
        </w:rPr>
        <w:t xml:space="preserve"> </w:t>
      </w:r>
      <w:r w:rsidR="00162682" w:rsidRPr="00F82639">
        <w:rPr>
          <w:b/>
          <w:bCs/>
          <w:sz w:val="24"/>
          <w:szCs w:val="24"/>
        </w:rPr>
        <w:t>MEZUNİYET</w:t>
      </w:r>
      <w:r w:rsidR="00D00AD0" w:rsidRPr="00F82639">
        <w:rPr>
          <w:b/>
          <w:bCs/>
          <w:sz w:val="24"/>
          <w:szCs w:val="24"/>
        </w:rPr>
        <w:t xml:space="preserve"> TÖRENİ-202</w:t>
      </w:r>
      <w:r w:rsidR="00031ECB">
        <w:rPr>
          <w:b/>
          <w:bCs/>
          <w:sz w:val="24"/>
          <w:szCs w:val="24"/>
        </w:rPr>
        <w:t>3</w:t>
      </w:r>
      <w:r w:rsidR="00C6583F" w:rsidRPr="00F82639">
        <w:rPr>
          <w:b/>
          <w:bCs/>
          <w:sz w:val="24"/>
          <w:szCs w:val="24"/>
        </w:rPr>
        <w:t xml:space="preserve"> </w:t>
      </w:r>
      <w:r w:rsidR="00FB507C" w:rsidRPr="00F82639">
        <w:rPr>
          <w:b/>
          <w:bCs/>
          <w:sz w:val="24"/>
          <w:szCs w:val="24"/>
        </w:rPr>
        <w:t xml:space="preserve">ÖGRENCİ </w:t>
      </w:r>
      <w:r w:rsidR="00C6583F" w:rsidRPr="00F82639">
        <w:rPr>
          <w:b/>
          <w:bCs/>
          <w:sz w:val="24"/>
          <w:szCs w:val="24"/>
        </w:rPr>
        <w:t>TAKVİMİ</w:t>
      </w:r>
      <w:r w:rsidR="001E27FC">
        <w:rPr>
          <w:b/>
          <w:bCs/>
          <w:sz w:val="24"/>
          <w:szCs w:val="24"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3"/>
        <w:gridCol w:w="824"/>
        <w:gridCol w:w="625"/>
        <w:gridCol w:w="681"/>
        <w:gridCol w:w="570"/>
        <w:gridCol w:w="709"/>
        <w:gridCol w:w="568"/>
        <w:gridCol w:w="1115"/>
      </w:tblGrid>
      <w:tr w:rsidR="006B3B88" w:rsidRPr="009F4E3D" w14:paraId="0348E5B8" w14:textId="77777777" w:rsidTr="00C80FC0">
        <w:trPr>
          <w:trHeight w:val="298"/>
        </w:trPr>
        <w:tc>
          <w:tcPr>
            <w:tcW w:w="4973" w:type="dxa"/>
            <w:vMerge w:val="restart"/>
            <w:shd w:val="clear" w:color="auto" w:fill="auto"/>
            <w:vAlign w:val="center"/>
          </w:tcPr>
          <w:p w14:paraId="3C08E7B1" w14:textId="2C3F3C5D" w:rsidR="006B3B88" w:rsidRPr="009F4E3D" w:rsidRDefault="00E94507" w:rsidP="00832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tr-TR"/>
              </w:rPr>
              <w:t xml:space="preserve">MEZUNİYET’2023 </w:t>
            </w:r>
            <w:r w:rsidR="006B3B88" w:rsidRPr="009F4E3D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tr-TR"/>
              </w:rPr>
              <w:t>TÖRENİ</w:t>
            </w:r>
          </w:p>
          <w:p w14:paraId="19E530F0" w14:textId="36D4FE74" w:rsidR="0093115C" w:rsidRPr="0093115C" w:rsidRDefault="006B3B88" w:rsidP="0093115C">
            <w:pPr>
              <w:spacing w:after="0" w:line="240" w:lineRule="auto"/>
              <w:jc w:val="center"/>
              <w:rPr>
                <w:rFonts w:eastAsia="Times New Roman" w:cs="Aharoni"/>
                <w:b/>
                <w:bCs/>
                <w:sz w:val="20"/>
                <w:szCs w:val="20"/>
                <w:lang w:eastAsia="tr-TR"/>
              </w:rPr>
            </w:pPr>
            <w:r w:rsidRPr="0093115C">
              <w:rPr>
                <w:rFonts w:eastAsia="Times New Roman" w:cs="Aharoni"/>
                <w:b/>
                <w:bCs/>
                <w:sz w:val="20"/>
                <w:szCs w:val="20"/>
                <w:lang w:eastAsia="tr-TR"/>
              </w:rPr>
              <w:t>0</w:t>
            </w:r>
            <w:r w:rsidR="0093115C" w:rsidRPr="0093115C">
              <w:rPr>
                <w:rFonts w:eastAsia="Times New Roman" w:cs="Aharoni"/>
                <w:b/>
                <w:bCs/>
                <w:sz w:val="20"/>
                <w:szCs w:val="20"/>
                <w:lang w:eastAsia="tr-TR"/>
              </w:rPr>
              <w:t>7</w:t>
            </w:r>
            <w:r w:rsidRPr="0093115C">
              <w:rPr>
                <w:rFonts w:eastAsia="Times New Roman" w:cs="Aharoni"/>
                <w:b/>
                <w:bCs/>
                <w:sz w:val="20"/>
                <w:szCs w:val="20"/>
                <w:lang w:eastAsia="tr-TR"/>
              </w:rPr>
              <w:t xml:space="preserve"> Haziran 2023</w:t>
            </w:r>
            <w:r w:rsidR="0093115C" w:rsidRPr="0093115C">
              <w:rPr>
                <w:rFonts w:eastAsia="Times New Roman" w:cs="Aharoni"/>
                <w:b/>
                <w:bCs/>
                <w:sz w:val="20"/>
                <w:szCs w:val="20"/>
                <w:lang w:eastAsia="tr-TR"/>
              </w:rPr>
              <w:t xml:space="preserve"> Çarşamba</w:t>
            </w:r>
          </w:p>
          <w:p w14:paraId="19563BE5" w14:textId="77777777" w:rsidR="00E94507" w:rsidRDefault="006B3B88" w:rsidP="009311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E9450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Saat: 14.00</w:t>
            </w:r>
            <w:r w:rsidRPr="00E94507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0756831E" w14:textId="1C448BF2" w:rsidR="006B3B88" w:rsidRPr="00E94507" w:rsidRDefault="0093115C" w:rsidP="00E945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E94507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(Final </w:t>
            </w:r>
            <w:r w:rsidR="00E94507" w:rsidRPr="00E94507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Sınavı </w:t>
            </w:r>
            <w:r w:rsidRPr="00E94507">
              <w:rPr>
                <w:rFonts w:eastAsia="Times New Roman" w:cs="Times New Roman"/>
                <w:sz w:val="20"/>
                <w:szCs w:val="20"/>
                <w:lang w:eastAsia="tr-TR"/>
              </w:rPr>
              <w:t>2. Haftası)</w:t>
            </w:r>
          </w:p>
        </w:tc>
        <w:tc>
          <w:tcPr>
            <w:tcW w:w="824" w:type="dxa"/>
            <w:shd w:val="clear" w:color="auto" w:fill="auto"/>
            <w:noWrap/>
            <w:vAlign w:val="center"/>
          </w:tcPr>
          <w:p w14:paraId="1CF0CD93" w14:textId="77777777" w:rsidR="006B3B88" w:rsidRPr="009F4E3D" w:rsidRDefault="006B3B88" w:rsidP="008323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9F4E3D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Pzt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14:paraId="5D0B324E" w14:textId="77777777" w:rsidR="006B3B88" w:rsidRPr="009F4E3D" w:rsidRDefault="006B3B88" w:rsidP="008323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9F4E3D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Sal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195B321" w14:textId="77777777" w:rsidR="006B3B88" w:rsidRPr="009F4E3D" w:rsidRDefault="006B3B88" w:rsidP="008323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9F4E3D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Çrş</w:t>
            </w:r>
            <w:proofErr w:type="spellEnd"/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705B5D5" w14:textId="77777777" w:rsidR="006B3B88" w:rsidRPr="009F4E3D" w:rsidRDefault="006B3B88" w:rsidP="008323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9F4E3D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Prş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1D72BC" w14:textId="77777777" w:rsidR="006B3B88" w:rsidRPr="009F4E3D" w:rsidRDefault="006B3B88" w:rsidP="008323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9F4E3D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Cum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11C785A5" w14:textId="77777777" w:rsidR="006B3B88" w:rsidRPr="0093115C" w:rsidRDefault="006B3B88" w:rsidP="008323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9311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Cmt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E5EBB6C" w14:textId="77777777" w:rsidR="006B3B88" w:rsidRPr="0093115C" w:rsidRDefault="006B3B88" w:rsidP="008323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</w:pPr>
            <w:r w:rsidRPr="0093115C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Paz</w:t>
            </w:r>
          </w:p>
        </w:tc>
      </w:tr>
      <w:tr w:rsidR="006B3B88" w:rsidRPr="002C0C08" w14:paraId="56A93CA3" w14:textId="77777777" w:rsidTr="00C80FC0">
        <w:trPr>
          <w:trHeight w:val="78"/>
        </w:trPr>
        <w:tc>
          <w:tcPr>
            <w:tcW w:w="4973" w:type="dxa"/>
            <w:vMerge/>
            <w:shd w:val="clear" w:color="auto" w:fill="auto"/>
            <w:vAlign w:val="center"/>
            <w:hideMark/>
          </w:tcPr>
          <w:p w14:paraId="1EA18243" w14:textId="77777777" w:rsidR="006B3B88" w:rsidRPr="002C0C08" w:rsidRDefault="006B3B88" w:rsidP="00832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14:paraId="350F0395" w14:textId="317EFA1D" w:rsidR="006B3B88" w:rsidRPr="00E801B9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E801B9">
              <w:rPr>
                <w:rFonts w:ascii="Arial" w:eastAsia="Times New Roman" w:hAnsi="Arial" w:cs="Arial"/>
                <w:lang w:eastAsia="tr-TR"/>
              </w:rPr>
              <w:t>29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C09414D" w14:textId="09E050E9" w:rsidR="006B3B88" w:rsidRPr="009F4E3D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lang w:eastAsia="tr-TR"/>
              </w:rPr>
              <w:t>30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A1AD61B" w14:textId="0E7A2650" w:rsidR="006B3B88" w:rsidRPr="009F4E3D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31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29486F3" w14:textId="6F4DF0BE" w:rsidR="006B3B88" w:rsidRPr="009F4E3D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09FA81" w14:textId="1C198A6F" w:rsidR="006B3B88" w:rsidRPr="009F4E3D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02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4DC2C16" w14:textId="1AE07CE6" w:rsidR="006B3B88" w:rsidRPr="0093115C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0</w:t>
            </w:r>
            <w:r w:rsidRPr="0093115C">
              <w:rPr>
                <w:rFonts w:ascii="Arial" w:eastAsia="Times New Roman" w:hAnsi="Arial" w:cs="Arial"/>
                <w:lang w:eastAsia="tr-TR"/>
              </w:rPr>
              <w:t>3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D942056" w14:textId="31243C5A" w:rsidR="006B3B88" w:rsidRPr="0093115C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0</w:t>
            </w:r>
            <w:r w:rsidRPr="0093115C">
              <w:rPr>
                <w:rFonts w:ascii="Arial" w:eastAsia="Times New Roman" w:hAnsi="Arial" w:cs="Arial"/>
                <w:lang w:eastAsia="tr-TR"/>
              </w:rPr>
              <w:t>4</w:t>
            </w:r>
          </w:p>
        </w:tc>
      </w:tr>
      <w:tr w:rsidR="006B3B88" w:rsidRPr="002C0C08" w14:paraId="74856504" w14:textId="77777777" w:rsidTr="00C80FC0">
        <w:trPr>
          <w:trHeight w:val="53"/>
        </w:trPr>
        <w:tc>
          <w:tcPr>
            <w:tcW w:w="4973" w:type="dxa"/>
            <w:vMerge/>
            <w:vAlign w:val="center"/>
            <w:hideMark/>
          </w:tcPr>
          <w:p w14:paraId="3588184D" w14:textId="77777777" w:rsidR="006B3B88" w:rsidRPr="002C0C08" w:rsidRDefault="006B3B88" w:rsidP="00832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14:paraId="411908B5" w14:textId="562C1665" w:rsidR="006B3B88" w:rsidRPr="009F4E3D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05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86FCD36" w14:textId="74640864" w:rsidR="006B3B88" w:rsidRPr="009F4E3D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06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4207910" w14:textId="3CA2CD27" w:rsidR="006B3B88" w:rsidRPr="002C0C08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tr-TR"/>
              </w:rPr>
              <w:t>07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CD1631C" w14:textId="4CA52F81" w:rsidR="006B3B88" w:rsidRPr="0093115C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 w:themeColor="background1" w:themeShade="D9"/>
                <w:lang w:eastAsia="tr-TR"/>
              </w:rPr>
            </w:pPr>
            <w:r w:rsidRPr="0093115C">
              <w:rPr>
                <w:rFonts w:ascii="Arial" w:eastAsia="Times New Roman" w:hAnsi="Arial" w:cs="Arial"/>
                <w:color w:val="D9D9D9" w:themeColor="background1" w:themeShade="D9"/>
                <w:lang w:eastAsia="tr-TR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D3EC3C" w14:textId="781C35A3" w:rsidR="006B3B88" w:rsidRPr="0093115C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 w:themeColor="background1" w:themeShade="D9"/>
                <w:lang w:eastAsia="tr-TR"/>
              </w:rPr>
            </w:pPr>
            <w:r w:rsidRPr="0093115C">
              <w:rPr>
                <w:rFonts w:ascii="Arial" w:eastAsia="Times New Roman" w:hAnsi="Arial" w:cs="Arial"/>
                <w:color w:val="D9D9D9" w:themeColor="background1" w:themeShade="D9"/>
                <w:lang w:eastAsia="tr-TR"/>
              </w:rPr>
              <w:t>09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81A8315" w14:textId="796F2FCA" w:rsidR="006B3B88" w:rsidRPr="009F4E3D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 w:themeColor="background1" w:themeShade="D9"/>
                <w:lang w:eastAsia="tr-TR"/>
              </w:rPr>
            </w:pPr>
            <w:r>
              <w:rPr>
                <w:rFonts w:ascii="Arial" w:eastAsia="Times New Roman" w:hAnsi="Arial" w:cs="Arial"/>
                <w:color w:val="D9D9D9" w:themeColor="background1" w:themeShade="D9"/>
                <w:lang w:eastAsia="tr-TR"/>
              </w:rPr>
              <w:t>10</w:t>
            </w:r>
          </w:p>
        </w:tc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7C236277" w14:textId="09A035A9" w:rsidR="006B3B88" w:rsidRPr="009F4E3D" w:rsidRDefault="0093115C" w:rsidP="00832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9D9D9" w:themeColor="background1" w:themeShade="D9"/>
                <w:lang w:eastAsia="tr-TR"/>
              </w:rPr>
            </w:pPr>
            <w:r>
              <w:rPr>
                <w:rFonts w:ascii="Arial" w:eastAsia="Times New Roman" w:hAnsi="Arial" w:cs="Arial"/>
                <w:color w:val="D9D9D9" w:themeColor="background1" w:themeShade="D9"/>
                <w:lang w:eastAsia="tr-TR"/>
              </w:rPr>
              <w:t>11</w:t>
            </w:r>
          </w:p>
        </w:tc>
      </w:tr>
      <w:tr w:rsidR="006B3B88" w:rsidRPr="001A63A8" w14:paraId="44737F4D" w14:textId="77777777" w:rsidTr="00C80FC0">
        <w:trPr>
          <w:trHeight w:val="20"/>
        </w:trPr>
        <w:tc>
          <w:tcPr>
            <w:tcW w:w="10065" w:type="dxa"/>
            <w:gridSpan w:val="8"/>
            <w:vAlign w:val="center"/>
          </w:tcPr>
          <w:p w14:paraId="3C8138F9" w14:textId="7C5F8E01" w:rsidR="006B3B88" w:rsidRPr="004A3D14" w:rsidRDefault="006B3B88" w:rsidP="001C72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A3D14">
              <w:rPr>
                <w:rFonts w:eastAsia="Times New Roman" w:cs="Times New Roman"/>
                <w:sz w:val="18"/>
                <w:szCs w:val="18"/>
                <w:lang w:eastAsia="tr-TR"/>
              </w:rPr>
              <w:t>Mezuniyet Töreni Son Sınıf Temsilcilerinin Mezuniyet Kurulu Oluşturup ilgili Kurul Başkanının Mezuniyet katılım listeleri ile Yüksekokul Mezuniyet idari Sekretaryasına başvuru yapmaları durumunda gerçekleştirilecektir.</w:t>
            </w:r>
          </w:p>
        </w:tc>
      </w:tr>
      <w:tr w:rsidR="001C729E" w:rsidRPr="001A63A8" w14:paraId="0C3B6A38" w14:textId="77777777" w:rsidTr="00C80FC0">
        <w:trPr>
          <w:trHeight w:val="20"/>
        </w:trPr>
        <w:tc>
          <w:tcPr>
            <w:tcW w:w="10065" w:type="dxa"/>
            <w:gridSpan w:val="8"/>
            <w:vAlign w:val="center"/>
          </w:tcPr>
          <w:p w14:paraId="7F33B3D1" w14:textId="4C9DD922" w:rsidR="001C729E" w:rsidRPr="004A3D14" w:rsidRDefault="001C729E" w:rsidP="001C729E">
            <w:pPr>
              <w:spacing w:after="0" w:line="0" w:lineRule="atLeast"/>
              <w:rPr>
                <w:sz w:val="18"/>
                <w:szCs w:val="18"/>
              </w:rPr>
            </w:pPr>
            <w:r w:rsidRPr="004A3D14">
              <w:rPr>
                <w:sz w:val="18"/>
                <w:szCs w:val="18"/>
              </w:rPr>
              <w:t xml:space="preserve">Mezuniyet törenine katılacak öğrencilerimiz başvuru sonucunu </w:t>
            </w:r>
            <w:r w:rsidR="006452C0">
              <w:rPr>
                <w:sz w:val="18"/>
                <w:szCs w:val="18"/>
              </w:rPr>
              <w:t>Y</w:t>
            </w:r>
            <w:r w:rsidRPr="004A3D14">
              <w:rPr>
                <w:sz w:val="18"/>
                <w:szCs w:val="18"/>
              </w:rPr>
              <w:t xml:space="preserve">üksekokul web sayfasından kontrol edebilirler. </w:t>
            </w:r>
          </w:p>
          <w:p w14:paraId="51CBA30F" w14:textId="5B0F8357" w:rsidR="001C729E" w:rsidRPr="004A3D14" w:rsidRDefault="00AB78D6" w:rsidP="001C729E">
            <w:pPr>
              <w:spacing w:after="0" w:line="0" w:lineRule="atLeast"/>
              <w:rPr>
                <w:sz w:val="18"/>
                <w:szCs w:val="18"/>
              </w:rPr>
            </w:pPr>
            <w:r w:rsidRPr="004A3D14">
              <w:rPr>
                <w:sz w:val="18"/>
                <w:szCs w:val="18"/>
              </w:rPr>
              <w:t xml:space="preserve">Kesinleşmiş Katılım listesinde ismi olmayan öğrenciler başvurularını ilgi bölümlere yapacaklardır. Bölüm başvuruyu değerlendirir mevcut planlamasına göre kabul ve ret verebilir. Bölümler kendi güncellenmiş listelerini öğrencilerine duyurur. </w:t>
            </w:r>
          </w:p>
        </w:tc>
      </w:tr>
      <w:tr w:rsidR="001C729E" w:rsidRPr="001A63A8" w14:paraId="34418E65" w14:textId="77777777" w:rsidTr="00C80FC0">
        <w:trPr>
          <w:trHeight w:val="20"/>
        </w:trPr>
        <w:tc>
          <w:tcPr>
            <w:tcW w:w="10065" w:type="dxa"/>
            <w:gridSpan w:val="8"/>
            <w:vAlign w:val="center"/>
          </w:tcPr>
          <w:p w14:paraId="328505F0" w14:textId="6FB4A677" w:rsidR="001C729E" w:rsidRPr="004A3D14" w:rsidRDefault="0060312A" w:rsidP="001C729E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Tören gününden 1 hafta önce </w:t>
            </w:r>
            <w:r w:rsidR="001C729E" w:rsidRPr="004A3D14">
              <w:rPr>
                <w:sz w:val="18"/>
                <w:szCs w:val="18"/>
              </w:rPr>
              <w:t>Bölümünüzden oturum sıranızı-Kep alım ve teslim saatinizi- sorumlu öğretim elemanını öğreniniz.</w:t>
            </w:r>
          </w:p>
        </w:tc>
      </w:tr>
      <w:tr w:rsidR="006B3B88" w:rsidRPr="001A63A8" w14:paraId="026C9BFD" w14:textId="77777777" w:rsidTr="00C80FC0">
        <w:trPr>
          <w:trHeight w:val="531"/>
        </w:trPr>
        <w:tc>
          <w:tcPr>
            <w:tcW w:w="10065" w:type="dxa"/>
            <w:gridSpan w:val="8"/>
            <w:vAlign w:val="center"/>
          </w:tcPr>
          <w:p w14:paraId="5AF19EF9" w14:textId="099843E8" w:rsidR="002205D7" w:rsidRPr="000568B6" w:rsidRDefault="004A3D14" w:rsidP="004A3D14">
            <w:pPr>
              <w:spacing w:after="0" w:line="0" w:lineRule="atLeast"/>
              <w:rPr>
                <w:sz w:val="18"/>
                <w:szCs w:val="18"/>
              </w:rPr>
            </w:pPr>
            <w:r w:rsidRPr="001A63A8">
              <w:rPr>
                <w:sz w:val="18"/>
                <w:szCs w:val="18"/>
              </w:rPr>
              <w:t xml:space="preserve">Mezuniyet Günü lütfen </w:t>
            </w:r>
            <w:r>
              <w:rPr>
                <w:sz w:val="18"/>
                <w:szCs w:val="18"/>
              </w:rPr>
              <w:t xml:space="preserve">bölümünüzün </w:t>
            </w:r>
            <w:r w:rsidRPr="001A63A8">
              <w:rPr>
                <w:sz w:val="18"/>
                <w:szCs w:val="18"/>
              </w:rPr>
              <w:t xml:space="preserve">planlamasına göre kep-cübbe alımını ve teslimini gerçekleştirin. </w:t>
            </w:r>
            <w:r w:rsidR="000568B6">
              <w:rPr>
                <w:sz w:val="18"/>
                <w:szCs w:val="18"/>
              </w:rPr>
              <w:t xml:space="preserve">Bölümünüzün yaptırdığı </w:t>
            </w:r>
            <w:r w:rsidRPr="001A63A8">
              <w:rPr>
                <w:sz w:val="18"/>
                <w:szCs w:val="18"/>
              </w:rPr>
              <w:t>Anonsları takip ediniz.</w:t>
            </w:r>
            <w:r w:rsidR="000568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Kep cübbe alımı için Bölümünüzün size duyurduğu yer ve saatte </w:t>
            </w:r>
            <w:r w:rsidR="0060312A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ep </w:t>
            </w:r>
            <w:r w:rsidR="0060312A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übbenizi almak için T.C. Kimliğinizle hazır bulununuz</w:t>
            </w:r>
            <w:r w:rsidR="000568B6">
              <w:rPr>
                <w:sz w:val="18"/>
                <w:szCs w:val="18"/>
              </w:rPr>
              <w:t>.</w:t>
            </w:r>
          </w:p>
        </w:tc>
      </w:tr>
      <w:tr w:rsidR="006F4176" w:rsidRPr="001A63A8" w14:paraId="34B376D4" w14:textId="77777777" w:rsidTr="00C80FC0">
        <w:trPr>
          <w:trHeight w:val="178"/>
        </w:trPr>
        <w:tc>
          <w:tcPr>
            <w:tcW w:w="10065" w:type="dxa"/>
            <w:gridSpan w:val="8"/>
            <w:vAlign w:val="center"/>
          </w:tcPr>
          <w:p w14:paraId="1E5A71FE" w14:textId="726F076A" w:rsidR="006F4176" w:rsidRPr="00C80FC0" w:rsidRDefault="000568B6" w:rsidP="000568B6">
            <w:pPr>
              <w:spacing w:after="0" w:line="0" w:lineRule="atLeast"/>
              <w:jc w:val="center"/>
              <w:rPr>
                <w:b/>
                <w:bCs/>
              </w:rPr>
            </w:pPr>
            <w:r w:rsidRPr="00C80FC0">
              <w:rPr>
                <w:b/>
                <w:bCs/>
              </w:rPr>
              <w:t>Bölümlerin Dikkatine</w:t>
            </w:r>
          </w:p>
          <w:p w14:paraId="44456202" w14:textId="4567713D" w:rsidR="000568B6" w:rsidRPr="001C729E" w:rsidRDefault="000568B6" w:rsidP="000568B6">
            <w:pPr>
              <w:spacing w:after="0" w:line="0" w:lineRule="atLeast"/>
              <w:ind w:right="238"/>
              <w:rPr>
                <w:sz w:val="18"/>
                <w:szCs w:val="18"/>
              </w:rPr>
            </w:pPr>
            <w:r w:rsidRPr="001C729E">
              <w:rPr>
                <w:sz w:val="18"/>
                <w:szCs w:val="18"/>
              </w:rPr>
              <w:t>-Bölüm Başkanlıkları</w:t>
            </w:r>
            <w:r>
              <w:rPr>
                <w:sz w:val="18"/>
                <w:szCs w:val="18"/>
              </w:rPr>
              <w:t xml:space="preserve"> </w:t>
            </w:r>
            <w:r w:rsidRPr="008B109F">
              <w:rPr>
                <w:sz w:val="18"/>
                <w:szCs w:val="18"/>
              </w:rPr>
              <w:t>kesinleşmiş Katılım listesine</w:t>
            </w:r>
            <w:r>
              <w:rPr>
                <w:sz w:val="18"/>
                <w:szCs w:val="18"/>
              </w:rPr>
              <w:t xml:space="preserve"> ve varsa bölüm tarafında kabul edilen ilave listeye</w:t>
            </w:r>
            <w:r w:rsidR="008B109F">
              <w:rPr>
                <w:sz w:val="18"/>
                <w:szCs w:val="18"/>
              </w:rPr>
              <w:t xml:space="preserve"> göre </w:t>
            </w:r>
            <w:r w:rsidRPr="001C729E">
              <w:rPr>
                <w:sz w:val="18"/>
                <w:szCs w:val="18"/>
              </w:rPr>
              <w:t>aşağıda belirtilen kep sayılarına göre oturum sayılarını ve saatlerini ve sorumlu öğretim elemanını belirleye</w:t>
            </w:r>
            <w:r w:rsidR="008B109F">
              <w:rPr>
                <w:sz w:val="18"/>
                <w:szCs w:val="18"/>
              </w:rPr>
              <w:t xml:space="preserve">cektir ve mezuniyet töreninden 1 hafta önce </w:t>
            </w:r>
            <w:r w:rsidRPr="001C729E">
              <w:rPr>
                <w:sz w:val="18"/>
                <w:szCs w:val="18"/>
              </w:rPr>
              <w:t xml:space="preserve">öğrencilerine duyuracaktır. </w:t>
            </w:r>
          </w:p>
          <w:p w14:paraId="34CDC031" w14:textId="0304E440" w:rsidR="000568B6" w:rsidRPr="001C729E" w:rsidRDefault="000568B6" w:rsidP="000568B6">
            <w:pPr>
              <w:spacing w:after="0" w:line="0" w:lineRule="atLeast"/>
              <w:ind w:right="238"/>
              <w:rPr>
                <w:sz w:val="18"/>
                <w:szCs w:val="18"/>
              </w:rPr>
            </w:pPr>
            <w:r w:rsidRPr="001C729E">
              <w:rPr>
                <w:sz w:val="18"/>
                <w:szCs w:val="18"/>
              </w:rPr>
              <w:t>-</w:t>
            </w:r>
            <w:bookmarkStart w:id="1" w:name="_Hlk125774247"/>
            <w:r w:rsidRPr="001C729E">
              <w:rPr>
                <w:sz w:val="18"/>
                <w:szCs w:val="18"/>
              </w:rPr>
              <w:t xml:space="preserve">Bölüm Başkanlıkları Protokol konuşması başlamadan </w:t>
            </w:r>
            <w:bookmarkStart w:id="2" w:name="_Hlk125773302"/>
            <w:r w:rsidRPr="001C729E">
              <w:rPr>
                <w:sz w:val="18"/>
                <w:szCs w:val="18"/>
              </w:rPr>
              <w:t xml:space="preserve">15 dakika önce </w:t>
            </w:r>
            <w:bookmarkEnd w:id="2"/>
            <w:r w:rsidRPr="001C729E">
              <w:rPr>
                <w:sz w:val="18"/>
                <w:szCs w:val="18"/>
              </w:rPr>
              <w:t>bölümlere ayrılan ilgili alanda 1. oturumun öğrencileri</w:t>
            </w:r>
            <w:r w:rsidR="00C80FC0">
              <w:rPr>
                <w:sz w:val="18"/>
                <w:szCs w:val="18"/>
              </w:rPr>
              <w:t xml:space="preserve">nin </w:t>
            </w:r>
            <w:r w:rsidRPr="001C729E">
              <w:rPr>
                <w:sz w:val="18"/>
                <w:szCs w:val="18"/>
              </w:rPr>
              <w:t>kepli cübbeli şekilde bölüme ait alanda</w:t>
            </w:r>
            <w:r w:rsidR="00C80FC0">
              <w:rPr>
                <w:sz w:val="18"/>
                <w:szCs w:val="18"/>
              </w:rPr>
              <w:t xml:space="preserve"> </w:t>
            </w:r>
            <w:r w:rsidRPr="001C729E">
              <w:rPr>
                <w:sz w:val="18"/>
                <w:szCs w:val="18"/>
              </w:rPr>
              <w:t>sorumlu öğretim elemanının gözetiminde yerlerini almalarını sağlayacak</w:t>
            </w:r>
            <w:r>
              <w:rPr>
                <w:sz w:val="18"/>
                <w:szCs w:val="18"/>
              </w:rPr>
              <w:t xml:space="preserve"> izdihamı önleyecektir.</w:t>
            </w:r>
            <w:bookmarkEnd w:id="1"/>
          </w:p>
          <w:p w14:paraId="105C0188" w14:textId="0C5ABA46" w:rsidR="000568B6" w:rsidRPr="000568B6" w:rsidRDefault="000568B6" w:rsidP="000568B6">
            <w:pPr>
              <w:widowControl w:val="0"/>
              <w:spacing w:after="0" w:line="240" w:lineRule="auto"/>
              <w:ind w:right="238"/>
              <w:rPr>
                <w:rFonts w:eastAsia="Times New Roman" w:cs="Times New Roman"/>
                <w:color w:val="000000"/>
                <w:kern w:val="28"/>
                <w:sz w:val="18"/>
                <w:szCs w:val="18"/>
                <w:lang w:eastAsia="tr-TR"/>
                <w14:cntxtAlts/>
              </w:rPr>
            </w:pPr>
            <w:r w:rsidRPr="001C729E">
              <w:rPr>
                <w:sz w:val="18"/>
                <w:szCs w:val="18"/>
              </w:rPr>
              <w:t>-Bölüm Başkanlıkları Kep ve cübbe alacak diğer oturumun öğrencilerinin tören alanında izdiham oluşturmaması için gerekli önlemleri alacak ve gerekli görevlendirmeleri sağlayacaktır.</w:t>
            </w:r>
          </w:p>
        </w:tc>
      </w:tr>
    </w:tbl>
    <w:tbl>
      <w:tblPr>
        <w:tblpPr w:leftFromText="141" w:rightFromText="141" w:vertAnchor="text" w:horzAnchor="margin" w:tblpX="-294" w:tblpY="144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67"/>
        <w:gridCol w:w="709"/>
        <w:gridCol w:w="1134"/>
        <w:gridCol w:w="1843"/>
        <w:gridCol w:w="1842"/>
        <w:gridCol w:w="2127"/>
      </w:tblGrid>
      <w:tr w:rsidR="00D7193F" w:rsidRPr="001A63A8" w14:paraId="08DFE028" w14:textId="77777777" w:rsidTr="00C80FC0">
        <w:trPr>
          <w:trHeight w:val="239"/>
        </w:trPr>
        <w:tc>
          <w:tcPr>
            <w:tcW w:w="10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CD956B4" w14:textId="47E9D525" w:rsidR="00D7193F" w:rsidRPr="00B46C96" w:rsidRDefault="00D7193F" w:rsidP="00CF0F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bookmarkStart w:id="3" w:name="_Hlk97244843"/>
            <w:r w:rsidRPr="00A906B5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Yüksekokul Bahçesinde Mezuniyet Töreni Diploma Taktimi ve Kep Atım Planlaması</w:t>
            </w:r>
          </w:p>
        </w:tc>
      </w:tr>
      <w:tr w:rsidR="00D7193F" w:rsidRPr="001A63A8" w14:paraId="314D1400" w14:textId="77777777" w:rsidTr="00C80FC0">
        <w:trPr>
          <w:trHeight w:val="23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F04B8F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8F939A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51E4F18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76CCFE84" w14:textId="66732AF2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A63A8">
              <w:rPr>
                <w:rFonts w:eastAsia="Times New Roman" w:cs="Times New Roman"/>
                <w:sz w:val="18"/>
                <w:szCs w:val="18"/>
                <w:lang w:eastAsia="tr-TR"/>
              </w:rPr>
              <w:t>Zaman Planlaması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- </w:t>
            </w:r>
            <w:r w:rsidRPr="001A63A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Tahmini Süreç (Dakika)</w:t>
            </w:r>
          </w:p>
        </w:tc>
      </w:tr>
      <w:tr w:rsidR="00D7193F" w:rsidRPr="001A63A8" w14:paraId="7CB37B59" w14:textId="77777777" w:rsidTr="00C80FC0">
        <w:trPr>
          <w:cantSplit/>
          <w:trHeight w:val="571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A70AD1" w14:textId="77777777" w:rsidR="00D7193F" w:rsidRDefault="00D7193F" w:rsidP="00D719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Programlar</w:t>
            </w:r>
          </w:p>
          <w:p w14:paraId="1656B4D1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176374F1" w14:textId="77777777" w:rsidR="00D7193F" w:rsidRPr="009F2314" w:rsidRDefault="00D7193F" w:rsidP="00D7193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46C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Kontenjan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E8E2D4" w14:textId="77777777" w:rsidR="00D7193F" w:rsidRPr="00BB1EE4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BB1EE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Program Kep-Cübbe </w:t>
            </w:r>
          </w:p>
          <w:p w14:paraId="24277C6E" w14:textId="4D52A11A" w:rsidR="00D7193F" w:rsidRPr="00BB1EE4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BB1EE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  <w:t>Sayısı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075B9D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14.00</w:t>
            </w:r>
          </w:p>
          <w:p w14:paraId="5E526CF3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14.45</w:t>
            </w:r>
          </w:p>
          <w:p w14:paraId="1B2A9B18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45</w:t>
            </w: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dk)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8CA203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14.45</w:t>
            </w:r>
          </w:p>
          <w:p w14:paraId="4A303311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15.30</w:t>
            </w:r>
          </w:p>
          <w:p w14:paraId="3623F52F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(45dk)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C81D608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15.30</w:t>
            </w:r>
          </w:p>
          <w:p w14:paraId="3BFCAF19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15.45</w:t>
            </w:r>
          </w:p>
          <w:p w14:paraId="67D622C7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(15dk)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D011E30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15.30</w:t>
            </w:r>
          </w:p>
          <w:p w14:paraId="4EEFCE82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16.30</w:t>
            </w:r>
          </w:p>
          <w:p w14:paraId="60D23E78" w14:textId="77777777" w:rsidR="00D7193F" w:rsidRPr="008C3BA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C3BA4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(60dk)</w:t>
            </w:r>
          </w:p>
        </w:tc>
      </w:tr>
      <w:tr w:rsidR="00D7193F" w:rsidRPr="001A63A8" w14:paraId="7072C8A6" w14:textId="77777777" w:rsidTr="00C80FC0">
        <w:trPr>
          <w:trHeight w:val="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900BE8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4" w:name="_Hlk97343425"/>
            <w:r w:rsidRPr="00516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Harita ve Kadastro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257F74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28E20" w14:textId="75FB4439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52A74FC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1A63A8">
              <w:rPr>
                <w:rFonts w:eastAsia="Times New Roman" w:cs="Times New Roman"/>
                <w:sz w:val="18"/>
                <w:szCs w:val="18"/>
                <w:lang w:eastAsia="tr-TR"/>
              </w:rPr>
              <w:t>Protokol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Konuşmaları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8D6C7C1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Bölümünüzün belirlediği oturum sayısı ve sırasına göre </w:t>
            </w:r>
          </w:p>
          <w:p w14:paraId="42BA19A5" w14:textId="1AC49F0A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Diploma Tak</w:t>
            </w:r>
            <w:r w:rsidR="00DD2742">
              <w:rPr>
                <w:rFonts w:eastAsia="Times New Roman" w:cs="Times New Roman"/>
                <w:sz w:val="18"/>
                <w:szCs w:val="18"/>
                <w:lang w:eastAsia="tr-TR"/>
              </w:rPr>
              <w:t>d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imi ve Kep Atma</w:t>
            </w:r>
          </w:p>
          <w:p w14:paraId="7876A34F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(Bölümünüzden oturum sıranızı öğreniniz)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7A63FBC4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Bölümlerin Kep birimine teslim edilen kep ve cübbelerin Bölümler tarafından Okul Kep Birimine teslimi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8BE87F6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Müzik Yayını</w:t>
            </w:r>
          </w:p>
        </w:tc>
      </w:tr>
      <w:bookmarkEnd w:id="4"/>
      <w:tr w:rsidR="00D7193F" w:rsidRPr="001A63A8" w14:paraId="0D691199" w14:textId="77777777" w:rsidTr="00C80FC0">
        <w:trPr>
          <w:trHeight w:val="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871CD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Sağlık Bilgi Sistem</w:t>
            </w:r>
            <w:r w:rsidRPr="009F231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82BC15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1C661A7" w14:textId="4375407C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3DF8FEA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2A0ECE8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52AD6582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11C1546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7193F" w:rsidRPr="001A63A8" w14:paraId="21B37F0F" w14:textId="77777777" w:rsidTr="00C80FC0">
        <w:trPr>
          <w:trHeight w:val="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D4D507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İnşaat Teknolojisi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FD3B19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3E5EED8" w14:textId="04379F9B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8C6CF43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E0A0B31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225C2614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442D877C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7193F" w:rsidRPr="001A63A8" w14:paraId="05883DA2" w14:textId="77777777" w:rsidTr="00C80FC0">
        <w:trPr>
          <w:trHeight w:val="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1E2236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Yapı Denetimi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13618F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078FC60" w14:textId="64F2A684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6D5C7C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381CA7A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15418476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0D836A0D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7193F" w:rsidRPr="001A63A8" w14:paraId="0477ADA0" w14:textId="77777777" w:rsidTr="00C80FC0">
        <w:trPr>
          <w:trHeight w:val="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B11936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Lojistik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2110A5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7AAC19" w14:textId="4BEB1269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1D75F77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E761166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2866698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91ACEAE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7193F" w:rsidRPr="001A63A8" w14:paraId="743D9A5C" w14:textId="77777777" w:rsidTr="00C80FC0">
        <w:trPr>
          <w:trHeight w:val="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4C8061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E5FE5A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6CB5D8" w14:textId="142E14AC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F56BEB0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DE488C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391D7D5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D11F054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7193F" w:rsidRPr="001A63A8" w14:paraId="4F18DD14" w14:textId="77777777" w:rsidTr="00C80FC0">
        <w:trPr>
          <w:trHeight w:val="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579F13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Yerel Yönetimler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7E8C39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3C1E48B" w14:textId="46DBCBBF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9F05F09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57A93B8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4A81BD34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E44590B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7193F" w:rsidRPr="001A63A8" w14:paraId="781E1368" w14:textId="77777777" w:rsidTr="00C80FC0">
        <w:trPr>
          <w:trHeight w:val="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E61944" w14:textId="77777777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Mekatronik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6406BE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A2D1540" w14:textId="7924403D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5ABBE32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</w:tcPr>
          <w:p w14:paraId="58AC850A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vMerge/>
            <w:vAlign w:val="center"/>
          </w:tcPr>
          <w:p w14:paraId="6D78BAA7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Merge/>
            <w:vAlign w:val="center"/>
          </w:tcPr>
          <w:p w14:paraId="4B9D99B2" w14:textId="77777777" w:rsidR="00D7193F" w:rsidRPr="001A63A8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D7193F" w:rsidRPr="001A63A8" w14:paraId="32D6712B" w14:textId="77777777" w:rsidTr="00C80FC0">
        <w:trPr>
          <w:trHeight w:val="4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DB8381" w14:textId="752A48E8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Sivil Sav</w:t>
            </w:r>
            <w:r w:rsidRPr="009F2314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.</w:t>
            </w: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 xml:space="preserve"> Ve İtfaiye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50B61E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9569D57" w14:textId="7EC16CE7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548235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B908DF1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</w:tcPr>
          <w:p w14:paraId="13A225E7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vMerge/>
            <w:vAlign w:val="center"/>
          </w:tcPr>
          <w:p w14:paraId="4E94D01B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Merge/>
            <w:vAlign w:val="center"/>
          </w:tcPr>
          <w:p w14:paraId="3E0076B2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D7193F" w:rsidRPr="001A63A8" w14:paraId="63DEFC02" w14:textId="77777777" w:rsidTr="00C80FC0">
        <w:trPr>
          <w:trHeight w:val="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C044AD" w14:textId="1B1C71A2" w:rsidR="00D7193F" w:rsidRPr="009F2314" w:rsidRDefault="00D7193F" w:rsidP="00D7193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Kep-Cübbe 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179AAE" w14:textId="77777777" w:rsidR="00D7193F" w:rsidRPr="009F2314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BA1F85C" w14:textId="5D7BC6CA" w:rsidR="00D7193F" w:rsidRPr="005169C0" w:rsidRDefault="00D7193F" w:rsidP="00D719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69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1134" w:type="dxa"/>
          </w:tcPr>
          <w:p w14:paraId="3BD5E79F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14:paraId="182382F3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256362FF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70D98562" w14:textId="77777777" w:rsidR="00D7193F" w:rsidRDefault="00D7193F" w:rsidP="00D7193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</w:tbl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46C96" w:rsidRPr="001A63A8" w14:paraId="3D00D81A" w14:textId="77777777" w:rsidTr="00C80FC0">
        <w:trPr>
          <w:trHeight w:val="20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6995139E" w14:textId="77777777" w:rsidR="00B46C96" w:rsidRPr="004D7FBF" w:rsidRDefault="00B46C96" w:rsidP="008323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5" w:name="_Hlk97339512"/>
            <w:bookmarkStart w:id="6" w:name="_Hlk97256160"/>
            <w:bookmarkStart w:id="7" w:name="_Hlk97256844"/>
            <w:bookmarkEnd w:id="3"/>
            <w:bookmarkEnd w:id="5"/>
            <w:bookmarkEnd w:id="6"/>
            <w:bookmarkEnd w:id="7"/>
            <w:r w:rsidRPr="004D7FB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-Yağmur vb. Durumunda Kapalı Mezuniyet Töreni Alanları-</w:t>
            </w:r>
          </w:p>
          <w:p w14:paraId="171E779B" w14:textId="77777777" w:rsidR="00B46C96" w:rsidRDefault="00B46C96" w:rsidP="004D7F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1A63A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Lojistik Yerel İşletme: B Blok Son Kat Sınıfları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- </w:t>
            </w:r>
            <w:r w:rsidRPr="001A63A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Mekatronik: A Blok Son Kat Sınıfları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  <w:r w:rsidRPr="001A63A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Sağlık Bilgi Sistemleri: A Blok 1. Kat Sınıflar</w:t>
            </w:r>
          </w:p>
          <w:p w14:paraId="06DF3BAC" w14:textId="77777777" w:rsidR="00B46C96" w:rsidRPr="001A63A8" w:rsidRDefault="00B46C96" w:rsidP="004D7F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1A63A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Sivil Savunma ve İtfaiye: C Blok 2. Kat Sınıfları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- </w:t>
            </w:r>
            <w:r w:rsidRPr="001A63A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İnşaat Tekn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olojisi</w:t>
            </w:r>
            <w:r w:rsidRPr="001A63A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-Yapı Denetimi: C Blok 1. Kat Sınıfları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- </w:t>
            </w:r>
            <w:r w:rsidRPr="001A63A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Harita ve Kadastro: C Blok Zemin Kat Sınıfları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(</w:t>
            </w:r>
            <w:r w:rsidRPr="001A63A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Öğrencilerimiz ailelerini ilgili sınıflara yerleştireceklerdir. Bölümleriyle</w:t>
            </w:r>
            <w:r w:rsidRPr="001A63A8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1A63A8">
              <w:rPr>
                <w:rFonts w:eastAsia="Times New Roman" w:cs="Times New Roman"/>
                <w:sz w:val="18"/>
                <w:szCs w:val="18"/>
                <w:lang w:eastAsia="tr-TR"/>
              </w:rPr>
              <w:t>Diploma Taktimi sürecini yöneteceklerdir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.)</w:t>
            </w:r>
          </w:p>
        </w:tc>
      </w:tr>
    </w:tbl>
    <w:p w14:paraId="4B1DA84B" w14:textId="57D01E4F" w:rsidR="00A24B99" w:rsidRPr="00CD7031" w:rsidRDefault="00A24B99" w:rsidP="005B7C37">
      <w:pPr>
        <w:spacing w:after="0" w:line="0" w:lineRule="atLeast"/>
        <w:ind w:right="142"/>
        <w:jc w:val="center"/>
        <w:rPr>
          <w:b/>
          <w:bCs/>
          <w:sz w:val="20"/>
          <w:szCs w:val="20"/>
        </w:rPr>
      </w:pPr>
      <w:r w:rsidRPr="00CD7031">
        <w:rPr>
          <w:b/>
          <w:bCs/>
          <w:sz w:val="20"/>
          <w:szCs w:val="20"/>
        </w:rPr>
        <w:t>Bölümlerin</w:t>
      </w:r>
      <w:r w:rsidR="00BC2A3C">
        <w:rPr>
          <w:b/>
          <w:bCs/>
          <w:sz w:val="20"/>
          <w:szCs w:val="20"/>
        </w:rPr>
        <w:t xml:space="preserve"> Mezuniyet Sorumlulukları</w:t>
      </w:r>
    </w:p>
    <w:p w14:paraId="5A2C08C5" w14:textId="7ACE275D" w:rsidR="00FB0587" w:rsidRDefault="00FB0587" w:rsidP="005B7C37">
      <w:pPr>
        <w:widowControl w:val="0"/>
        <w:spacing w:after="0" w:line="240" w:lineRule="auto"/>
        <w:ind w:left="-284" w:right="142"/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</w:pP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-Bölümler mezuniyet katılım listelerini okul web ortamından alabilirler.</w:t>
      </w:r>
    </w:p>
    <w:p w14:paraId="51C90389" w14:textId="51707028" w:rsidR="005D7897" w:rsidRPr="005C4EAF" w:rsidRDefault="005D7897" w:rsidP="005B7C37">
      <w:pPr>
        <w:widowControl w:val="0"/>
        <w:spacing w:after="0" w:line="240" w:lineRule="auto"/>
        <w:ind w:left="-284" w:right="142"/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</w:pPr>
      <w:r w:rsidRPr="0080653D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-Bölümlerin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 Kep-Cübbe dağılımı Kontenjanları oranınca planlanmıştır. Mezuniyet katılım sayısına göre bir planlama yapılmayacaktır</w:t>
      </w:r>
      <w:r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. </w:t>
      </w:r>
    </w:p>
    <w:p w14:paraId="502F5548" w14:textId="168FB63D" w:rsidR="00FB0587" w:rsidRPr="00FB0587" w:rsidRDefault="00FB0587" w:rsidP="005B7C37">
      <w:pPr>
        <w:widowControl w:val="0"/>
        <w:spacing w:after="0" w:line="240" w:lineRule="auto"/>
        <w:ind w:left="-284" w:right="142"/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</w:pP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-Bölümler Mezuniyet başvuru listelerine ve bölümün kep sayısına göre Diploma Takdim Alanlarındaki oturumlarını planlayıp mezuniyetten en az 1 hafta önce öğrencilerin</w:t>
      </w:r>
      <w:r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i bilgilendireceklerdir.</w:t>
      </w:r>
    </w:p>
    <w:p w14:paraId="1B1E1B76" w14:textId="51A8FDD2" w:rsidR="00A24B99" w:rsidRPr="005C4EAF" w:rsidRDefault="00A24B99" w:rsidP="005B7C37">
      <w:pPr>
        <w:widowControl w:val="0"/>
        <w:spacing w:after="0" w:line="240" w:lineRule="auto"/>
        <w:ind w:left="-284" w:right="142"/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</w:pP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-Bölümler mezuniyet gününden en az 1 hafta </w:t>
      </w:r>
      <w:r w:rsidR="00FB0587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Mezuniyet Kuruluna belirledikleri bölüm mezuniyet kep çözüm üyeleri ile toplantı yapacak </w:t>
      </w:r>
      <w:r w:rsidR="00571A96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s</w:t>
      </w:r>
      <w:r w:rsidR="00571A96"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üreci nasıl yöneteceklerini </w:t>
      </w:r>
      <w:r w:rsidR="00571A96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konusunda bilgilendirmede bulunaca</w:t>
      </w:r>
      <w:r w:rsidR="00571A96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k ve </w:t>
      </w:r>
      <w:r w:rsidR="00FB0587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mezuniyet günü için görev tanımlamalarını</w:t>
      </w:r>
      <w:r w:rsidR="0080653D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 belirleyecektir. </w:t>
      </w:r>
    </w:p>
    <w:p w14:paraId="14278A08" w14:textId="0CC34C15" w:rsidR="00A24B99" w:rsidRPr="005C4EAF" w:rsidRDefault="00A24B99" w:rsidP="005B7C37">
      <w:pPr>
        <w:widowControl w:val="0"/>
        <w:spacing w:after="0" w:line="240" w:lineRule="auto"/>
        <w:ind w:left="-284" w:right="142"/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</w:pP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-Bölümler </w:t>
      </w:r>
      <w:r w:rsidR="00FB0587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Yükseko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kul Kep biriminden, Bölüm Kep birimini temsil eden</w:t>
      </w:r>
      <w:r w:rsidR="00FB0587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 </w:t>
      </w:r>
      <w:r w:rsidR="0005479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(Kep çözüm üyesi) 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öğrencileri ile birlikte Mezuniyet günü Saat </w:t>
      </w:r>
      <w:r w:rsidR="00FB0587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09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.00 a kadar keplerini, takdim diplomalarını imza karşılığı teslim almış olacaklardır</w:t>
      </w:r>
      <w:r w:rsidR="005B7C37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. 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(Kepleri daha erken alma durumun için </w:t>
      </w:r>
      <w:r w:rsidR="0005479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Yüksek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okul kep birimi ile iletişime geçiniz).</w:t>
      </w:r>
    </w:p>
    <w:p w14:paraId="4BE7005D" w14:textId="779577D4" w:rsidR="00A24B99" w:rsidRPr="005C4EAF" w:rsidRDefault="00A24B99" w:rsidP="005B7C37">
      <w:pPr>
        <w:widowControl w:val="0"/>
        <w:spacing w:after="0" w:line="240" w:lineRule="auto"/>
        <w:ind w:left="-284" w:right="142"/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</w:pP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-Bölümler Yerleşim planında belirtilen kamelyalarda belirledikleri oturumlara göre öğrencilere kimlik karşılığı kep alım ve teslimini sağla</w:t>
      </w:r>
      <w:r w:rsidR="005C2CCD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yacaktır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.</w:t>
      </w:r>
    </w:p>
    <w:p w14:paraId="7805D71C" w14:textId="73628561" w:rsidR="00A24B99" w:rsidRPr="005C4EAF" w:rsidRDefault="00A24B99" w:rsidP="005B7C37">
      <w:pPr>
        <w:widowControl w:val="0"/>
        <w:spacing w:after="0" w:line="240" w:lineRule="auto"/>
        <w:ind w:left="-284" w:right="142"/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</w:pP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-Bölümler</w:t>
      </w:r>
      <w:r w:rsidR="0005479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 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diploma ve kep atımı sona erdiğinde kamelyalar</w:t>
      </w:r>
      <w:r w:rsidR="008624A2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da ki bölüm kep birimlerine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 kep ve cübbelerin tam teslimi sağla</w:t>
      </w:r>
      <w:r w:rsidR="008624A2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yacaktır.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 </w:t>
      </w:r>
      <w:r w:rsidR="008624A2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Bölüm kep birimleri i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mza karşılığı okul kep birimine kep ve cübbe</w:t>
      </w:r>
      <w:r w:rsidR="008624A2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leri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, takdim diplomalarını varsa görev kartlarını tam olarak teslim </w:t>
      </w:r>
      <w:r w:rsidR="008624A2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edecektir</w:t>
      </w:r>
      <w:r w:rsidR="005C2CCD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>.</w:t>
      </w:r>
      <w:r w:rsidRPr="005C4EAF"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  <w:t xml:space="preserve"> </w:t>
      </w:r>
    </w:p>
    <w:p w14:paraId="100B26D8" w14:textId="27DE6AC4" w:rsidR="00D7193F" w:rsidRDefault="00D7193F" w:rsidP="005B7C37">
      <w:pPr>
        <w:widowControl w:val="0"/>
        <w:spacing w:after="0" w:line="240" w:lineRule="auto"/>
        <w:ind w:left="-284" w:right="142"/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</w:pPr>
      <w:r>
        <w:rPr>
          <w:sz w:val="18"/>
          <w:szCs w:val="18"/>
        </w:rPr>
        <w:t>-</w:t>
      </w:r>
      <w:r w:rsidR="00C80FC0" w:rsidRPr="001C729E">
        <w:rPr>
          <w:sz w:val="18"/>
          <w:szCs w:val="18"/>
        </w:rPr>
        <w:t>Bölüm Başkanlıkları Protokol konuşması başlamadan 15 dakika önce bölümlere ayrılan ilgili alanda 1. oturumun öğrencileri</w:t>
      </w:r>
      <w:r w:rsidR="00C80FC0">
        <w:rPr>
          <w:sz w:val="18"/>
          <w:szCs w:val="18"/>
        </w:rPr>
        <w:t xml:space="preserve">nin </w:t>
      </w:r>
      <w:r w:rsidR="00C80FC0" w:rsidRPr="001C729E">
        <w:rPr>
          <w:sz w:val="18"/>
          <w:szCs w:val="18"/>
        </w:rPr>
        <w:t>kepli cübbeli şekilde bölüme ait alanda</w:t>
      </w:r>
      <w:r w:rsidR="00C80FC0">
        <w:rPr>
          <w:sz w:val="18"/>
          <w:szCs w:val="18"/>
        </w:rPr>
        <w:t xml:space="preserve"> </w:t>
      </w:r>
      <w:r w:rsidR="00C80FC0" w:rsidRPr="001C729E">
        <w:rPr>
          <w:sz w:val="18"/>
          <w:szCs w:val="18"/>
        </w:rPr>
        <w:t>sorumlu öğretim elemanının gözetiminde yerlerini almalarını sağlayacak</w:t>
      </w:r>
      <w:r w:rsidR="00C80FC0">
        <w:rPr>
          <w:sz w:val="18"/>
          <w:szCs w:val="18"/>
        </w:rPr>
        <w:t xml:space="preserve"> izdihamı önleyecektir.</w:t>
      </w:r>
    </w:p>
    <w:p w14:paraId="37B07DFB" w14:textId="2C89F528" w:rsidR="001C729E" w:rsidRDefault="00D7193F" w:rsidP="005B7C37">
      <w:pPr>
        <w:widowControl w:val="0"/>
        <w:spacing w:after="0" w:line="240" w:lineRule="auto"/>
        <w:ind w:left="-284" w:right="142"/>
        <w:rPr>
          <w:rFonts w:eastAsia="Times New Roman" w:cs="Times New Roman"/>
          <w:color w:val="000000"/>
          <w:kern w:val="28"/>
          <w:sz w:val="18"/>
          <w:szCs w:val="18"/>
          <w:lang w:eastAsia="tr-TR"/>
          <w14:cntxtAlts/>
        </w:rPr>
      </w:pPr>
      <w:r w:rsidRPr="001C729E">
        <w:rPr>
          <w:sz w:val="18"/>
          <w:szCs w:val="18"/>
        </w:rPr>
        <w:t>-Bölüm Kep ve cübbe alacak oturumun öğrencilerinin tören alanında izdiham oluşturmaması için gerekli önlemleri alacak ve gerekli görevlendirmeleri sağlayacaktır.</w:t>
      </w:r>
    </w:p>
    <w:sectPr w:rsidR="001C729E" w:rsidSect="005B7C37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A1"/>
    <w:rsid w:val="00003F9E"/>
    <w:rsid w:val="00013F64"/>
    <w:rsid w:val="00027BDB"/>
    <w:rsid w:val="00031621"/>
    <w:rsid w:val="00031ECB"/>
    <w:rsid w:val="00050E43"/>
    <w:rsid w:val="0005479F"/>
    <w:rsid w:val="000568B6"/>
    <w:rsid w:val="00057262"/>
    <w:rsid w:val="00064CC6"/>
    <w:rsid w:val="00081218"/>
    <w:rsid w:val="000B6283"/>
    <w:rsid w:val="000C6499"/>
    <w:rsid w:val="000D029B"/>
    <w:rsid w:val="000D22A0"/>
    <w:rsid w:val="000E1477"/>
    <w:rsid w:val="000F21FF"/>
    <w:rsid w:val="0012092F"/>
    <w:rsid w:val="00124A69"/>
    <w:rsid w:val="00133ABA"/>
    <w:rsid w:val="00135772"/>
    <w:rsid w:val="00143F6C"/>
    <w:rsid w:val="001507C3"/>
    <w:rsid w:val="00150DA3"/>
    <w:rsid w:val="00155CF7"/>
    <w:rsid w:val="0016111B"/>
    <w:rsid w:val="00162682"/>
    <w:rsid w:val="00166C36"/>
    <w:rsid w:val="0017547A"/>
    <w:rsid w:val="00182722"/>
    <w:rsid w:val="001833AE"/>
    <w:rsid w:val="00184AC7"/>
    <w:rsid w:val="00197723"/>
    <w:rsid w:val="001A43E4"/>
    <w:rsid w:val="001A63A8"/>
    <w:rsid w:val="001B151C"/>
    <w:rsid w:val="001C729E"/>
    <w:rsid w:val="001D0DA7"/>
    <w:rsid w:val="001D7D00"/>
    <w:rsid w:val="001E0105"/>
    <w:rsid w:val="001E27FC"/>
    <w:rsid w:val="001F3F96"/>
    <w:rsid w:val="001F6CF6"/>
    <w:rsid w:val="00205D9C"/>
    <w:rsid w:val="00210379"/>
    <w:rsid w:val="0021088E"/>
    <w:rsid w:val="00210B93"/>
    <w:rsid w:val="002205D7"/>
    <w:rsid w:val="00223D80"/>
    <w:rsid w:val="002240C9"/>
    <w:rsid w:val="00230434"/>
    <w:rsid w:val="0024064B"/>
    <w:rsid w:val="002430A6"/>
    <w:rsid w:val="002475BE"/>
    <w:rsid w:val="002616FE"/>
    <w:rsid w:val="0026276B"/>
    <w:rsid w:val="00264727"/>
    <w:rsid w:val="002664C4"/>
    <w:rsid w:val="00271D8D"/>
    <w:rsid w:val="00277FFB"/>
    <w:rsid w:val="00283B8A"/>
    <w:rsid w:val="0029430C"/>
    <w:rsid w:val="002A1B97"/>
    <w:rsid w:val="002A39B0"/>
    <w:rsid w:val="002A64B2"/>
    <w:rsid w:val="002B49CD"/>
    <w:rsid w:val="002B53BF"/>
    <w:rsid w:val="002B6202"/>
    <w:rsid w:val="002B7222"/>
    <w:rsid w:val="002B78BC"/>
    <w:rsid w:val="002D2674"/>
    <w:rsid w:val="002E05B3"/>
    <w:rsid w:val="002E565B"/>
    <w:rsid w:val="002E68AF"/>
    <w:rsid w:val="00301FE2"/>
    <w:rsid w:val="003022D9"/>
    <w:rsid w:val="003032D2"/>
    <w:rsid w:val="0031136C"/>
    <w:rsid w:val="0031143F"/>
    <w:rsid w:val="00312108"/>
    <w:rsid w:val="003133A5"/>
    <w:rsid w:val="00325947"/>
    <w:rsid w:val="00330177"/>
    <w:rsid w:val="003410DD"/>
    <w:rsid w:val="00353BCB"/>
    <w:rsid w:val="003666B5"/>
    <w:rsid w:val="00371EE2"/>
    <w:rsid w:val="00373EEC"/>
    <w:rsid w:val="00386C6E"/>
    <w:rsid w:val="003911ED"/>
    <w:rsid w:val="003D3DBE"/>
    <w:rsid w:val="003E0027"/>
    <w:rsid w:val="003E62F6"/>
    <w:rsid w:val="003F15E6"/>
    <w:rsid w:val="00415DC8"/>
    <w:rsid w:val="00434A10"/>
    <w:rsid w:val="00474BCA"/>
    <w:rsid w:val="00481E49"/>
    <w:rsid w:val="00487822"/>
    <w:rsid w:val="00492F67"/>
    <w:rsid w:val="00496847"/>
    <w:rsid w:val="004A3D14"/>
    <w:rsid w:val="004B0E5F"/>
    <w:rsid w:val="004B5B2E"/>
    <w:rsid w:val="004C295F"/>
    <w:rsid w:val="004D010B"/>
    <w:rsid w:val="004D1CE4"/>
    <w:rsid w:val="004D42F6"/>
    <w:rsid w:val="004D7FBF"/>
    <w:rsid w:val="004F6DB6"/>
    <w:rsid w:val="004F7A17"/>
    <w:rsid w:val="0050194D"/>
    <w:rsid w:val="00502F89"/>
    <w:rsid w:val="00504883"/>
    <w:rsid w:val="0051018C"/>
    <w:rsid w:val="00517740"/>
    <w:rsid w:val="00535AF1"/>
    <w:rsid w:val="005520A1"/>
    <w:rsid w:val="005651B8"/>
    <w:rsid w:val="00571A96"/>
    <w:rsid w:val="00585FC2"/>
    <w:rsid w:val="005B5583"/>
    <w:rsid w:val="005B6326"/>
    <w:rsid w:val="005B7C37"/>
    <w:rsid w:val="005C2CCD"/>
    <w:rsid w:val="005D76B1"/>
    <w:rsid w:val="005D7897"/>
    <w:rsid w:val="005E7DC5"/>
    <w:rsid w:val="005F762B"/>
    <w:rsid w:val="006006A9"/>
    <w:rsid w:val="0060312A"/>
    <w:rsid w:val="00605824"/>
    <w:rsid w:val="00607D09"/>
    <w:rsid w:val="00621317"/>
    <w:rsid w:val="00623955"/>
    <w:rsid w:val="00626B6B"/>
    <w:rsid w:val="006318D4"/>
    <w:rsid w:val="00642433"/>
    <w:rsid w:val="006452C0"/>
    <w:rsid w:val="00665CB5"/>
    <w:rsid w:val="006823E2"/>
    <w:rsid w:val="00684AFA"/>
    <w:rsid w:val="006876E3"/>
    <w:rsid w:val="006A7D2A"/>
    <w:rsid w:val="006B0289"/>
    <w:rsid w:val="006B34F1"/>
    <w:rsid w:val="006B3B88"/>
    <w:rsid w:val="006B5687"/>
    <w:rsid w:val="006C5D78"/>
    <w:rsid w:val="006D3276"/>
    <w:rsid w:val="006E4AA6"/>
    <w:rsid w:val="006F4176"/>
    <w:rsid w:val="006F618C"/>
    <w:rsid w:val="00702561"/>
    <w:rsid w:val="00703FEB"/>
    <w:rsid w:val="00713D93"/>
    <w:rsid w:val="007212CC"/>
    <w:rsid w:val="00726A25"/>
    <w:rsid w:val="00737E3F"/>
    <w:rsid w:val="00751DE3"/>
    <w:rsid w:val="0076547E"/>
    <w:rsid w:val="00777919"/>
    <w:rsid w:val="00782E42"/>
    <w:rsid w:val="007A581D"/>
    <w:rsid w:val="007B0505"/>
    <w:rsid w:val="007B1669"/>
    <w:rsid w:val="007B1FA1"/>
    <w:rsid w:val="007B4432"/>
    <w:rsid w:val="007D1716"/>
    <w:rsid w:val="007D7F6A"/>
    <w:rsid w:val="007E05EB"/>
    <w:rsid w:val="007F1106"/>
    <w:rsid w:val="007F595B"/>
    <w:rsid w:val="007F7540"/>
    <w:rsid w:val="00802F9D"/>
    <w:rsid w:val="0080653D"/>
    <w:rsid w:val="00810BD8"/>
    <w:rsid w:val="00813DDF"/>
    <w:rsid w:val="00825BA8"/>
    <w:rsid w:val="0085776E"/>
    <w:rsid w:val="008606F5"/>
    <w:rsid w:val="008624A2"/>
    <w:rsid w:val="00872681"/>
    <w:rsid w:val="008877CB"/>
    <w:rsid w:val="008A32F6"/>
    <w:rsid w:val="008A5B19"/>
    <w:rsid w:val="008A67A3"/>
    <w:rsid w:val="008B109F"/>
    <w:rsid w:val="008B61AB"/>
    <w:rsid w:val="008C24B3"/>
    <w:rsid w:val="008C24E1"/>
    <w:rsid w:val="008C3BA4"/>
    <w:rsid w:val="008E3FB5"/>
    <w:rsid w:val="008F1B4B"/>
    <w:rsid w:val="0093115C"/>
    <w:rsid w:val="00931F00"/>
    <w:rsid w:val="009328F6"/>
    <w:rsid w:val="00940BAB"/>
    <w:rsid w:val="009423B3"/>
    <w:rsid w:val="00945607"/>
    <w:rsid w:val="009458A7"/>
    <w:rsid w:val="00951CE7"/>
    <w:rsid w:val="00955549"/>
    <w:rsid w:val="009748B5"/>
    <w:rsid w:val="00980CA9"/>
    <w:rsid w:val="0098176F"/>
    <w:rsid w:val="00997900"/>
    <w:rsid w:val="009A449A"/>
    <w:rsid w:val="009C457F"/>
    <w:rsid w:val="009E0568"/>
    <w:rsid w:val="009E10BE"/>
    <w:rsid w:val="009E4762"/>
    <w:rsid w:val="009F2314"/>
    <w:rsid w:val="009F4E3D"/>
    <w:rsid w:val="00A24B99"/>
    <w:rsid w:val="00A33F24"/>
    <w:rsid w:val="00A559DE"/>
    <w:rsid w:val="00A60C85"/>
    <w:rsid w:val="00A71DF1"/>
    <w:rsid w:val="00A906B5"/>
    <w:rsid w:val="00A92CC0"/>
    <w:rsid w:val="00A93142"/>
    <w:rsid w:val="00A933A9"/>
    <w:rsid w:val="00A964DD"/>
    <w:rsid w:val="00AA1FED"/>
    <w:rsid w:val="00AA65C7"/>
    <w:rsid w:val="00AB354D"/>
    <w:rsid w:val="00AB78D6"/>
    <w:rsid w:val="00AC3C5C"/>
    <w:rsid w:val="00AC4E12"/>
    <w:rsid w:val="00AE728B"/>
    <w:rsid w:val="00AF3A30"/>
    <w:rsid w:val="00AF7480"/>
    <w:rsid w:val="00B02EC4"/>
    <w:rsid w:val="00B32D82"/>
    <w:rsid w:val="00B44280"/>
    <w:rsid w:val="00B44286"/>
    <w:rsid w:val="00B44B4F"/>
    <w:rsid w:val="00B46C96"/>
    <w:rsid w:val="00B473A1"/>
    <w:rsid w:val="00B51352"/>
    <w:rsid w:val="00B53F67"/>
    <w:rsid w:val="00B64DF3"/>
    <w:rsid w:val="00B734C9"/>
    <w:rsid w:val="00B81C60"/>
    <w:rsid w:val="00B928ED"/>
    <w:rsid w:val="00B97F38"/>
    <w:rsid w:val="00BA1351"/>
    <w:rsid w:val="00BB1EE4"/>
    <w:rsid w:val="00BB262F"/>
    <w:rsid w:val="00BB34D7"/>
    <w:rsid w:val="00BB6971"/>
    <w:rsid w:val="00BB7B3B"/>
    <w:rsid w:val="00BC2A3C"/>
    <w:rsid w:val="00BC59AA"/>
    <w:rsid w:val="00BD1BFA"/>
    <w:rsid w:val="00BD7705"/>
    <w:rsid w:val="00BE3132"/>
    <w:rsid w:val="00BE402D"/>
    <w:rsid w:val="00BF6DD2"/>
    <w:rsid w:val="00C077B6"/>
    <w:rsid w:val="00C161B5"/>
    <w:rsid w:val="00C22275"/>
    <w:rsid w:val="00C3161F"/>
    <w:rsid w:val="00C33981"/>
    <w:rsid w:val="00C34E19"/>
    <w:rsid w:val="00C41F7F"/>
    <w:rsid w:val="00C52999"/>
    <w:rsid w:val="00C5675B"/>
    <w:rsid w:val="00C6583F"/>
    <w:rsid w:val="00C80FC0"/>
    <w:rsid w:val="00C82320"/>
    <w:rsid w:val="00C90294"/>
    <w:rsid w:val="00C90A03"/>
    <w:rsid w:val="00C96D17"/>
    <w:rsid w:val="00CB391F"/>
    <w:rsid w:val="00CD0A68"/>
    <w:rsid w:val="00CD355F"/>
    <w:rsid w:val="00CD7031"/>
    <w:rsid w:val="00CE5A77"/>
    <w:rsid w:val="00CF0F2D"/>
    <w:rsid w:val="00D00AD0"/>
    <w:rsid w:val="00D1789B"/>
    <w:rsid w:val="00D22C0E"/>
    <w:rsid w:val="00D27AD8"/>
    <w:rsid w:val="00D316DE"/>
    <w:rsid w:val="00D4775B"/>
    <w:rsid w:val="00D47A17"/>
    <w:rsid w:val="00D56480"/>
    <w:rsid w:val="00D64A64"/>
    <w:rsid w:val="00D7193F"/>
    <w:rsid w:val="00D72243"/>
    <w:rsid w:val="00D9602F"/>
    <w:rsid w:val="00D97C28"/>
    <w:rsid w:val="00DA1C80"/>
    <w:rsid w:val="00DB38E6"/>
    <w:rsid w:val="00DC096A"/>
    <w:rsid w:val="00DC2550"/>
    <w:rsid w:val="00DC2B33"/>
    <w:rsid w:val="00DC2E19"/>
    <w:rsid w:val="00DC4B8D"/>
    <w:rsid w:val="00DD128B"/>
    <w:rsid w:val="00DD2410"/>
    <w:rsid w:val="00DD2742"/>
    <w:rsid w:val="00DF0A18"/>
    <w:rsid w:val="00E14976"/>
    <w:rsid w:val="00E16529"/>
    <w:rsid w:val="00E2256B"/>
    <w:rsid w:val="00E26D78"/>
    <w:rsid w:val="00E71D95"/>
    <w:rsid w:val="00E74283"/>
    <w:rsid w:val="00E75982"/>
    <w:rsid w:val="00E801B9"/>
    <w:rsid w:val="00E926E1"/>
    <w:rsid w:val="00E94507"/>
    <w:rsid w:val="00EA3945"/>
    <w:rsid w:val="00EB4A8F"/>
    <w:rsid w:val="00EC4DD1"/>
    <w:rsid w:val="00ED3D5E"/>
    <w:rsid w:val="00EE62E7"/>
    <w:rsid w:val="00EF2AB6"/>
    <w:rsid w:val="00F12AD2"/>
    <w:rsid w:val="00F23F11"/>
    <w:rsid w:val="00F33CD1"/>
    <w:rsid w:val="00F36D8A"/>
    <w:rsid w:val="00F375BA"/>
    <w:rsid w:val="00F43E6A"/>
    <w:rsid w:val="00F53DA2"/>
    <w:rsid w:val="00F7438B"/>
    <w:rsid w:val="00F772E0"/>
    <w:rsid w:val="00F82639"/>
    <w:rsid w:val="00F83D20"/>
    <w:rsid w:val="00FA3831"/>
    <w:rsid w:val="00FA60AE"/>
    <w:rsid w:val="00FB0587"/>
    <w:rsid w:val="00FB159E"/>
    <w:rsid w:val="00FB507C"/>
    <w:rsid w:val="00FC03E0"/>
    <w:rsid w:val="00FC45CE"/>
    <w:rsid w:val="00FD33EF"/>
    <w:rsid w:val="00FD6CDD"/>
    <w:rsid w:val="00FE07E5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2151"/>
  <w15:chartTrackingRefBased/>
  <w15:docId w15:val="{6009F0F8-E818-4903-8AAC-5CCCA1CB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F6CF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22177494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234</cp:revision>
  <cp:lastPrinted>2022-03-08T05:24:00Z</cp:lastPrinted>
  <dcterms:created xsi:type="dcterms:W3CDTF">2022-03-02T17:05:00Z</dcterms:created>
  <dcterms:modified xsi:type="dcterms:W3CDTF">2023-01-28T02:08:00Z</dcterms:modified>
</cp:coreProperties>
</file>